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F8CB" w14:textId="252DD70B" w:rsidR="0086060A" w:rsidRPr="0086060A" w:rsidRDefault="00720335" w:rsidP="0086060A">
      <w:pPr>
        <w:pStyle w:val="Tekstopmerking"/>
        <w:rPr>
          <w:b/>
          <w:bCs/>
          <w:sz w:val="28"/>
          <w:szCs w:val="28"/>
        </w:rPr>
      </w:pPr>
      <w:r>
        <w:rPr>
          <w:b/>
          <w:bCs/>
          <w:sz w:val="28"/>
          <w:szCs w:val="28"/>
        </w:rPr>
        <w:t>Verdere e</w:t>
      </w:r>
      <w:r w:rsidR="0086060A" w:rsidRPr="0086060A">
        <w:rPr>
          <w:b/>
          <w:bCs/>
          <w:sz w:val="28"/>
          <w:szCs w:val="28"/>
        </w:rPr>
        <w:t>volutie naar kleinere verpakking</w:t>
      </w:r>
      <w:r>
        <w:rPr>
          <w:b/>
          <w:bCs/>
          <w:sz w:val="28"/>
          <w:szCs w:val="28"/>
        </w:rPr>
        <w:t>en</w:t>
      </w:r>
      <w:r w:rsidR="0086060A" w:rsidRPr="0086060A">
        <w:rPr>
          <w:b/>
          <w:bCs/>
          <w:sz w:val="28"/>
          <w:szCs w:val="28"/>
        </w:rPr>
        <w:t xml:space="preserve"> in de aardappelrayon</w:t>
      </w:r>
    </w:p>
    <w:p w14:paraId="2EBB4966" w14:textId="2C09F55D" w:rsidR="00A00BF1" w:rsidRDefault="00BA4E63" w:rsidP="00BA4E63">
      <w:pPr>
        <w:spacing w:after="120" w:line="252" w:lineRule="auto"/>
        <w:rPr>
          <w:i/>
        </w:rPr>
      </w:pPr>
      <w:r w:rsidRPr="00BA4E63">
        <w:rPr>
          <w:i/>
        </w:rPr>
        <w:t xml:space="preserve">Het thuisverbruik van verse aardappelen daalde </w:t>
      </w:r>
      <w:r>
        <w:rPr>
          <w:i/>
        </w:rPr>
        <w:t>in 2019 maar d</w:t>
      </w:r>
      <w:r w:rsidRPr="00BA4E63">
        <w:rPr>
          <w:i/>
        </w:rPr>
        <w:t>oor de hogere aardappelprijs</w:t>
      </w:r>
      <w:r w:rsidR="0086060A">
        <w:rPr>
          <w:i/>
        </w:rPr>
        <w:t xml:space="preserve"> </w:t>
      </w:r>
      <w:r w:rsidRPr="00BA4E63">
        <w:rPr>
          <w:i/>
        </w:rPr>
        <w:t>steeg de besteding wel met 13%. Het percentage kopende gezinnen en de aankoopfrequentie ble</w:t>
      </w:r>
      <w:r w:rsidR="001C0520">
        <w:rPr>
          <w:i/>
        </w:rPr>
        <w:t>ven</w:t>
      </w:r>
      <w:r w:rsidRPr="00BA4E63">
        <w:rPr>
          <w:i/>
        </w:rPr>
        <w:t xml:space="preserve"> stabiel maar het volume per aankoop daalt verder</w:t>
      </w:r>
      <w:r>
        <w:rPr>
          <w:i/>
        </w:rPr>
        <w:t>.</w:t>
      </w:r>
      <w:r>
        <w:rPr>
          <w:i/>
        </w:rPr>
        <w:br/>
      </w:r>
      <w:r w:rsidR="00B45396">
        <w:rPr>
          <w:i/>
        </w:rPr>
        <w:t xml:space="preserve">Aardappelen worden voornamelijk in de supermarkt gekocht. </w:t>
      </w:r>
      <w:r w:rsidRPr="00BA4E63">
        <w:rPr>
          <w:i/>
        </w:rPr>
        <w:t xml:space="preserve">Het aandeel van </w:t>
      </w:r>
      <w:r w:rsidR="00B45396">
        <w:rPr>
          <w:i/>
        </w:rPr>
        <w:t>hard discount</w:t>
      </w:r>
      <w:r w:rsidRPr="00BA4E63">
        <w:rPr>
          <w:i/>
        </w:rPr>
        <w:t xml:space="preserve"> </w:t>
      </w:r>
      <w:r w:rsidR="00B45396">
        <w:rPr>
          <w:i/>
        </w:rPr>
        <w:t xml:space="preserve">binnen de verse aardappelen </w:t>
      </w:r>
      <w:r w:rsidRPr="00BA4E63">
        <w:rPr>
          <w:i/>
        </w:rPr>
        <w:t>blijft stijgen</w:t>
      </w:r>
      <w:r w:rsidR="00B45396">
        <w:rPr>
          <w:i/>
        </w:rPr>
        <w:t>.</w:t>
      </w:r>
      <w:r w:rsidR="00B45396">
        <w:rPr>
          <w:i/>
        </w:rPr>
        <w:br/>
      </w:r>
      <w:r w:rsidRPr="00BA4E63">
        <w:rPr>
          <w:i/>
        </w:rPr>
        <w:t>Na een stabiel thuisverbruik de voorbije jaren steeg het thuisverbruik van verse verwerkte aardappelen in 2019</w:t>
      </w:r>
      <w:r w:rsidR="00B45396">
        <w:rPr>
          <w:i/>
        </w:rPr>
        <w:t xml:space="preserve"> fors</w:t>
      </w:r>
      <w:r w:rsidRPr="00BA4E63">
        <w:rPr>
          <w:i/>
        </w:rPr>
        <w:t xml:space="preserve">. Voor de verwerkte aardappelen in diepvries noteren we </w:t>
      </w:r>
      <w:r w:rsidR="00B45396">
        <w:rPr>
          <w:i/>
        </w:rPr>
        <w:t>ook een stijging</w:t>
      </w:r>
      <w:r w:rsidRPr="00BA4E63">
        <w:rPr>
          <w:i/>
        </w:rPr>
        <w:t xml:space="preserve">. De kant-en-klare maaltijden met aardappelen zijn een klein segment maar kennen wel voor het </w:t>
      </w:r>
      <w:r w:rsidR="00B45396">
        <w:rPr>
          <w:i/>
        </w:rPr>
        <w:t>tweede</w:t>
      </w:r>
      <w:r w:rsidRPr="00BA4E63">
        <w:rPr>
          <w:i/>
        </w:rPr>
        <w:t xml:space="preserve"> jaar op rij een mooie groei</w:t>
      </w:r>
      <w:r w:rsidR="00B45396">
        <w:rPr>
          <w:i/>
        </w:rPr>
        <w:t xml:space="preserve">. </w:t>
      </w:r>
      <w:r w:rsidR="004B248F">
        <w:rPr>
          <w:i/>
        </w:rPr>
        <w:br/>
      </w:r>
      <w:r w:rsidR="00BD31F2">
        <w:rPr>
          <w:i/>
        </w:rPr>
        <w:t xml:space="preserve">Van alle maaltijdbegeleiders komt de aardappel nog steeds het vaakst op tafel in de Belgische keuken. Gekookte aardappelen zijn daarbij de meest gebruikte bereidingsvorm. </w:t>
      </w:r>
      <w:r w:rsidR="004B248F">
        <w:rPr>
          <w:i/>
        </w:rPr>
        <w:br/>
      </w:r>
      <w:r w:rsidR="00817C2C">
        <w:rPr>
          <w:i/>
        </w:rPr>
        <w:t xml:space="preserve">Thuis is veruit de belangrijkste consumptieplaats voor aardappelen en aardappelbereidingen. Friet is hierop de uitzondering en wordt vaker buitenshuis gegeten of buitenshuis afgehaald. </w:t>
      </w:r>
    </w:p>
    <w:p w14:paraId="37283F88" w14:textId="6F9F3ED9" w:rsidR="00E834B6" w:rsidRDefault="00AB7A31" w:rsidP="00B355AA">
      <w:pPr>
        <w:spacing w:after="120" w:line="252" w:lineRule="auto"/>
        <w:rPr>
          <w:i/>
        </w:rPr>
      </w:pPr>
      <w:r w:rsidRPr="00AB7A31">
        <w:rPr>
          <w:i/>
        </w:rPr>
        <w:t xml:space="preserve">Dit </w:t>
      </w:r>
      <w:r w:rsidR="00A00BF1">
        <w:rPr>
          <w:i/>
        </w:rPr>
        <w:t xml:space="preserve">alles </w:t>
      </w:r>
      <w:r w:rsidRPr="00AB7A31">
        <w:rPr>
          <w:i/>
        </w:rPr>
        <w:t>blijkt uit gegevens die VLAM aankocht bij GfK Belgium, die de aankopen van 5</w:t>
      </w:r>
      <w:r w:rsidR="00F01EE0">
        <w:rPr>
          <w:i/>
        </w:rPr>
        <w:t xml:space="preserve"> </w:t>
      </w:r>
      <w:r w:rsidRPr="00AB7A31">
        <w:rPr>
          <w:i/>
        </w:rPr>
        <w:t>000 Belgische gezinnen voor thuisverbruik opvolgt, uit online onderzoek dat iVox in opdracht van VLAM uitvoerde en uit de Marktmaker, de onl</w:t>
      </w:r>
      <w:r>
        <w:rPr>
          <w:i/>
        </w:rPr>
        <w:t>ine research community van VLAM in samenwerking met InSites Consulting.</w:t>
      </w:r>
    </w:p>
    <w:p w14:paraId="1E1A1B2D" w14:textId="158EDCE6" w:rsidR="001400CA" w:rsidRPr="001400CA" w:rsidRDefault="00FA46AD" w:rsidP="00BD31F2">
      <w:pPr>
        <w:spacing w:before="360" w:after="120" w:line="252" w:lineRule="auto"/>
        <w:rPr>
          <w:b/>
        </w:rPr>
      </w:pPr>
      <w:r>
        <w:rPr>
          <w:b/>
        </w:rPr>
        <w:t>Gemiddelde Belg kocht 2</w:t>
      </w:r>
      <w:r w:rsidR="004035BD">
        <w:rPr>
          <w:b/>
        </w:rPr>
        <w:t>0</w:t>
      </w:r>
      <w:r w:rsidR="006F4E20">
        <w:rPr>
          <w:b/>
        </w:rPr>
        <w:t>,</w:t>
      </w:r>
      <w:r w:rsidR="004035BD">
        <w:rPr>
          <w:b/>
        </w:rPr>
        <w:t>4</w:t>
      </w:r>
      <w:r>
        <w:rPr>
          <w:b/>
        </w:rPr>
        <w:t xml:space="preserve"> kg verse aardappelen </w:t>
      </w:r>
    </w:p>
    <w:p w14:paraId="0CE9FDC6" w14:textId="3C38E800" w:rsidR="00E35956" w:rsidRDefault="006F4E20" w:rsidP="00830AE7">
      <w:pPr>
        <w:spacing w:after="120" w:line="252" w:lineRule="auto"/>
      </w:pPr>
      <w:r w:rsidRPr="006F4E20">
        <w:t xml:space="preserve">Met een jaarpenetratie van 91% </w:t>
      </w:r>
      <w:r w:rsidR="00413E30">
        <w:t>blijven</w:t>
      </w:r>
      <w:r w:rsidRPr="006F4E20">
        <w:t xml:space="preserve"> verse aardappel</w:t>
      </w:r>
      <w:r w:rsidR="00413E30">
        <w:t>en</w:t>
      </w:r>
      <w:r w:rsidRPr="006F4E20">
        <w:t xml:space="preserve"> een product dat nagenoeg alle gezinnen </w:t>
      </w:r>
      <w:r w:rsidR="00413E30">
        <w:t xml:space="preserve">in België </w:t>
      </w:r>
      <w:r w:rsidRPr="006F4E20">
        <w:t xml:space="preserve">kopen. </w:t>
      </w:r>
      <w:r w:rsidR="00C403D3">
        <w:t>D</w:t>
      </w:r>
      <w:r w:rsidRPr="006F4E20">
        <w:t xml:space="preserve">e aankoopfrequentie </w:t>
      </w:r>
      <w:r w:rsidR="00C403D3">
        <w:t>bleef</w:t>
      </w:r>
      <w:r w:rsidR="00A12156">
        <w:t xml:space="preserve">, in tegenstelling tot de dalende aankoopfrequentie van de totale verscategorie, </w:t>
      </w:r>
      <w:r w:rsidR="00C403D3">
        <w:t xml:space="preserve">vorig jaar stabiel op 13,6 </w:t>
      </w:r>
      <w:r w:rsidR="00830AE7">
        <w:t xml:space="preserve">keer per jaar. </w:t>
      </w:r>
      <w:r w:rsidR="00A12156">
        <w:t xml:space="preserve">Het volume per aankoop daalde in 2019 </w:t>
      </w:r>
      <w:r w:rsidR="00830AE7">
        <w:t xml:space="preserve">wel verder </w:t>
      </w:r>
      <w:r w:rsidR="00A12156">
        <w:t>van 4 kg naar 3,8 kg per aankoop</w:t>
      </w:r>
      <w:r w:rsidR="00830AE7">
        <w:t xml:space="preserve">. Dit is het </w:t>
      </w:r>
      <w:r w:rsidR="00A12156">
        <w:t xml:space="preserve">gevolg van een verdere verschuiving naar de kleinere </w:t>
      </w:r>
      <w:r w:rsidR="00830AE7">
        <w:t>aardappel</w:t>
      </w:r>
      <w:r w:rsidR="00A12156">
        <w:t xml:space="preserve">verpakkingen. </w:t>
      </w:r>
      <w:r w:rsidR="006965E3" w:rsidRPr="006965E3">
        <w:t>90% van de aangekochte aardappelen worden voorverpakt gekocht. Het aankoopgewicht van 5 kg blijft het populairst, met een volumeaandeel van 45%</w:t>
      </w:r>
      <w:r w:rsidR="00823097">
        <w:t xml:space="preserve">. </w:t>
      </w:r>
      <w:r w:rsidR="00E35956">
        <w:t xml:space="preserve">Echter, het </w:t>
      </w:r>
      <w:r w:rsidR="00A12156">
        <w:t xml:space="preserve">aandeel van verpakkingen kleiner dan 5 kg steeg in 2019 </w:t>
      </w:r>
      <w:r w:rsidR="00830AE7">
        <w:t xml:space="preserve">van 40 naar 44% </w:t>
      </w:r>
      <w:r w:rsidR="00A12156">
        <w:t>(in 201</w:t>
      </w:r>
      <w:r w:rsidR="00830AE7">
        <w:t>4</w:t>
      </w:r>
      <w:r w:rsidR="00A12156">
        <w:t xml:space="preserve"> bedroeg dit aandeel </w:t>
      </w:r>
      <w:r w:rsidR="00CA6FAB">
        <w:t>slechts 30</w:t>
      </w:r>
      <w:r w:rsidR="00A12156">
        <w:t>%)</w:t>
      </w:r>
      <w:r w:rsidR="00823097">
        <w:t>.</w:t>
      </w:r>
    </w:p>
    <w:p w14:paraId="140C1571" w14:textId="77777777" w:rsidR="00E35956" w:rsidRDefault="00E35956" w:rsidP="00E35956">
      <w:pPr>
        <w:spacing w:after="120" w:line="252" w:lineRule="auto"/>
      </w:pPr>
      <w:r>
        <w:t>Door deze evolutie daalt de gemiddelde aankoophoeveelheid per aankoop, wat zorgt voor een daling in het jaarlijks volume per capita.</w:t>
      </w:r>
    </w:p>
    <w:p w14:paraId="6A914DDC" w14:textId="5B0E69C8" w:rsidR="00905868" w:rsidRDefault="006965E3">
      <w:pPr>
        <w:spacing w:after="120" w:line="252" w:lineRule="auto"/>
      </w:pPr>
      <w:r>
        <w:t>D</w:t>
      </w:r>
      <w:r w:rsidR="007A70DB" w:rsidRPr="007A70DB">
        <w:t xml:space="preserve">oor voor kleinere verpakkingen te kiezen, </w:t>
      </w:r>
      <w:r w:rsidR="007A70DB">
        <w:t xml:space="preserve">is er </w:t>
      </w:r>
      <w:r w:rsidR="00626B42">
        <w:t xml:space="preserve">ook </w:t>
      </w:r>
      <w:r w:rsidR="007A70DB">
        <w:t>minder verspilling</w:t>
      </w:r>
      <w:r w:rsidR="0086060A">
        <w:t xml:space="preserve"> en sluiten de aankoopgegevens beter aan bij het daadwerkelijk geconsumeerde volume</w:t>
      </w:r>
      <w:r w:rsidR="007A70DB" w:rsidRPr="007A70DB">
        <w:t>.</w:t>
      </w:r>
      <w:r w:rsidR="00A12156">
        <w:br/>
      </w:r>
      <w:r w:rsidR="004F4FC9">
        <w:t>In 2019</w:t>
      </w:r>
      <w:r w:rsidR="00413E30">
        <w:t xml:space="preserve"> kwamen we uit op een thuisverbruik van verse aardappelen van </w:t>
      </w:r>
      <w:r w:rsidR="00D91DFF">
        <w:t>20,4</w:t>
      </w:r>
      <w:r w:rsidR="00413E30">
        <w:t xml:space="preserve"> kg per capita, wat een daling met </w:t>
      </w:r>
      <w:r w:rsidR="00D91DFF">
        <w:t>3</w:t>
      </w:r>
      <w:r w:rsidR="00413E30">
        <w:t>% is in vergelijking met 201</w:t>
      </w:r>
      <w:r w:rsidR="00D91DFF">
        <w:t>8</w:t>
      </w:r>
      <w:r w:rsidR="00413E30">
        <w:t xml:space="preserve">. </w:t>
      </w:r>
      <w:r w:rsidR="00A6225F">
        <w:t>D</w:t>
      </w:r>
      <w:r w:rsidR="00F16B7B">
        <w:t xml:space="preserve">e </w:t>
      </w:r>
      <w:r w:rsidR="00905868">
        <w:t xml:space="preserve">gemiddelde </w:t>
      </w:r>
      <w:r w:rsidR="00A6225F">
        <w:t xml:space="preserve">aardappelprijs steeg </w:t>
      </w:r>
      <w:r w:rsidR="00D91DFF">
        <w:t>van 1,00</w:t>
      </w:r>
      <w:r w:rsidR="00846126">
        <w:t xml:space="preserve"> </w:t>
      </w:r>
      <w:r w:rsidR="00D91DFF">
        <w:t xml:space="preserve">naar 1,16 euro </w:t>
      </w:r>
      <w:r w:rsidR="00846126">
        <w:t>per kg</w:t>
      </w:r>
      <w:r w:rsidR="00D91DFF">
        <w:t>. Hier</w:t>
      </w:r>
      <w:r w:rsidR="00F16B7B">
        <w:t xml:space="preserve">door </w:t>
      </w:r>
      <w:r w:rsidR="00D91DFF">
        <w:t>ste</w:t>
      </w:r>
      <w:r w:rsidR="001C0520">
        <w:t>e</w:t>
      </w:r>
      <w:r w:rsidR="00D91DFF">
        <w:t xml:space="preserve">g </w:t>
      </w:r>
      <w:r w:rsidR="00F16B7B">
        <w:t xml:space="preserve">de besteding </w:t>
      </w:r>
      <w:r w:rsidR="00D91DFF">
        <w:t xml:space="preserve">van verse aardappelen </w:t>
      </w:r>
      <w:r w:rsidR="00905868">
        <w:t xml:space="preserve">per </w:t>
      </w:r>
      <w:r w:rsidR="00530CAF">
        <w:t>Belg</w:t>
      </w:r>
      <w:r w:rsidR="00905868">
        <w:t xml:space="preserve"> </w:t>
      </w:r>
      <w:r w:rsidR="00DC2857">
        <w:t>in 201</w:t>
      </w:r>
      <w:r w:rsidR="00D91DFF">
        <w:t>9 met 13%</w:t>
      </w:r>
      <w:r w:rsidR="00F16B7B">
        <w:t xml:space="preserve"> tot </w:t>
      </w:r>
      <w:r w:rsidR="00D91DFF">
        <w:t>23,7</w:t>
      </w:r>
      <w:r w:rsidR="00F16B7B">
        <w:t xml:space="preserve"> </w:t>
      </w:r>
      <w:r w:rsidR="00905868">
        <w:t xml:space="preserve">euro per capita. </w:t>
      </w:r>
    </w:p>
    <w:p w14:paraId="6364D9D2" w14:textId="77777777" w:rsidR="00E40C44" w:rsidRDefault="00E40C44" w:rsidP="00B355AA">
      <w:pPr>
        <w:spacing w:after="120" w:line="252" w:lineRule="auto"/>
        <w:jc w:val="center"/>
      </w:pPr>
      <w:r w:rsidRPr="00E40C44">
        <w:rPr>
          <w:noProof/>
          <w:lang w:eastAsia="nl-BE"/>
        </w:rPr>
        <w:lastRenderedPageBreak/>
        <w:drawing>
          <wp:inline distT="0" distB="0" distL="0" distR="0" wp14:anchorId="55EA08E5" wp14:editId="6D3DC8E3">
            <wp:extent cx="4676775" cy="276225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DC1465" w14:textId="65769F9A" w:rsidR="00A106F0" w:rsidRDefault="00A431F6" w:rsidP="00B355AA">
      <w:pPr>
        <w:spacing w:after="120" w:line="252" w:lineRule="auto"/>
      </w:pPr>
      <w:r>
        <w:t xml:space="preserve">In Vlaanderen ligt het thuisverbruik van verse aardappelen met </w:t>
      </w:r>
      <w:r w:rsidR="007246B2">
        <w:t>21,5</w:t>
      </w:r>
      <w:r>
        <w:t xml:space="preserve"> kg per capita hoger dan in Wallonië (</w:t>
      </w:r>
      <w:r w:rsidR="00F16B7B">
        <w:t>2</w:t>
      </w:r>
      <w:r w:rsidR="00413E30">
        <w:t>0</w:t>
      </w:r>
      <w:r w:rsidR="007246B2">
        <w:t xml:space="preserve"> </w:t>
      </w:r>
      <w:r>
        <w:t>kg) en Brussel (</w:t>
      </w:r>
      <w:r w:rsidR="007246B2">
        <w:t>15,4</w:t>
      </w:r>
      <w:r>
        <w:t xml:space="preserve"> kg).</w:t>
      </w:r>
      <w:r w:rsidR="00A106F0">
        <w:t xml:space="preserve"> Ook qua leeftijd noteren we grote verschillen: </w:t>
      </w:r>
      <w:r w:rsidR="007246B2">
        <w:t>27,3</w:t>
      </w:r>
      <w:r w:rsidR="00A106F0">
        <w:t xml:space="preserve"> kg per capita bij 65-plussers tegenover 1</w:t>
      </w:r>
      <w:r w:rsidR="00413E30">
        <w:t>5,</w:t>
      </w:r>
      <w:r w:rsidR="007246B2">
        <w:t>2</w:t>
      </w:r>
      <w:r w:rsidR="006C3AAA">
        <w:t xml:space="preserve"> kg per capita bij </w:t>
      </w:r>
      <w:r w:rsidR="007246B2">
        <w:t>de min 30</w:t>
      </w:r>
      <w:r w:rsidR="00F01EE0">
        <w:t>-</w:t>
      </w:r>
      <w:r w:rsidR="006C3AAA">
        <w:t>jarigen.</w:t>
      </w:r>
      <w:r w:rsidR="00BA4E63">
        <w:t xml:space="preserve"> </w:t>
      </w:r>
      <w:r w:rsidR="00BA4E63" w:rsidRPr="00BA4E63">
        <w:t>Op langere termijn noteren we zowel in Vlaanderen als in Brussel en Wallonië en bij alle leeftijdscategorieën een daling, maar in 2019 was er wel een stabilisatie in Wallonië en een stijging bij 30-39 jarigen.</w:t>
      </w:r>
    </w:p>
    <w:p w14:paraId="2C5D10A9" w14:textId="77777777" w:rsidR="00B355AA" w:rsidRPr="00B355AA" w:rsidRDefault="00B355AA" w:rsidP="00BD31F2">
      <w:pPr>
        <w:spacing w:before="360" w:after="120" w:line="252" w:lineRule="auto"/>
        <w:rPr>
          <w:b/>
        </w:rPr>
      </w:pPr>
      <w:r w:rsidRPr="00B355AA">
        <w:rPr>
          <w:b/>
        </w:rPr>
        <w:t>De troeven van de aardappel</w:t>
      </w:r>
    </w:p>
    <w:p w14:paraId="0954E63C" w14:textId="5AFCCAFD" w:rsidR="00B355AA" w:rsidRDefault="00B355AA" w:rsidP="00B355AA">
      <w:pPr>
        <w:spacing w:after="120" w:line="252" w:lineRule="auto"/>
      </w:pPr>
      <w:r>
        <w:t xml:space="preserve">De Vlaming vindt aardappelen lekker, voedzaam en veelzijdig. Bovendien horen ze onlosmakelijk samen met onze basiskeuken </w:t>
      </w:r>
      <w:r w:rsidR="00A00BF1">
        <w:t>zodat</w:t>
      </w:r>
      <w:r>
        <w:t xml:space="preserve"> aardappelen koken en eten sterk in onze routine en gewoontes zit. Ze zijn ook niet duur, makkelijk te bereiden en puur/natuurlijk. </w:t>
      </w:r>
      <w:r>
        <w:br/>
        <w:t xml:space="preserve">De daling in het thuisverbruik van aardappelen kan </w:t>
      </w:r>
      <w:r w:rsidR="003048A9">
        <w:t>deels</w:t>
      </w:r>
      <w:r>
        <w:t xml:space="preserve"> </w:t>
      </w:r>
      <w:r w:rsidR="00626B42">
        <w:t xml:space="preserve">ook </w:t>
      </w:r>
      <w:r>
        <w:t xml:space="preserve">verklaard worden door een grotere drang naar variatie </w:t>
      </w:r>
      <w:r w:rsidR="003048A9">
        <w:t xml:space="preserve">met andere maaltijdbegeleiders, die nog verder aangewakkerd wordt </w:t>
      </w:r>
      <w:r w:rsidR="003048A9" w:rsidRPr="003048A9">
        <w:t>door het groeiende aanbod aan alternatieven en het contact met andere eetculturen.</w:t>
      </w:r>
      <w:r w:rsidR="003048A9">
        <w:t xml:space="preserve"> Verder wordt die daling gedreven door de misperceptie dat aardappelen minder hedendaags en verfijnd zouden zijn</w:t>
      </w:r>
      <w:r w:rsidR="008F74BF">
        <w:t xml:space="preserve"> omdat ze sterk geassocieerd worden met een traditionele en zware keuken</w:t>
      </w:r>
      <w:r w:rsidR="003048A9">
        <w:t>, dat de bereiding tijdsintensief zou zijn</w:t>
      </w:r>
      <w:r w:rsidR="008F74BF">
        <w:t xml:space="preserve"> terwijl koken vaak snel moet gaan</w:t>
      </w:r>
      <w:r w:rsidR="00626B42">
        <w:t>. Door tijdsgebrek stijgt ook</w:t>
      </w:r>
      <w:r w:rsidR="009F2E69">
        <w:t xml:space="preserve"> het verbruik van kant-en-klare maaltijden en van buitenhuisverbruik en koken gezinnen dus minder vaak met maaltijdbegeleiders.</w:t>
      </w:r>
    </w:p>
    <w:p w14:paraId="1911402D" w14:textId="77777777" w:rsidR="00B355AA" w:rsidRPr="00B355AA" w:rsidRDefault="00B355AA" w:rsidP="00BD31F2">
      <w:pPr>
        <w:spacing w:before="360" w:after="120" w:line="252" w:lineRule="auto"/>
        <w:rPr>
          <w:b/>
        </w:rPr>
      </w:pPr>
      <w:r w:rsidRPr="00B355AA">
        <w:rPr>
          <w:b/>
        </w:rPr>
        <w:t>We eten ze het vaakst gekookt</w:t>
      </w:r>
    </w:p>
    <w:p w14:paraId="5E20F84E" w14:textId="07664D09" w:rsidR="00B355AA" w:rsidRDefault="00B355AA" w:rsidP="00B355AA">
      <w:pPr>
        <w:spacing w:after="120" w:line="252" w:lineRule="auto"/>
      </w:pPr>
      <w:r>
        <w:t>Gekookt</w:t>
      </w:r>
      <w:r w:rsidR="00A00BF1">
        <w:t xml:space="preserve"> is</w:t>
      </w:r>
      <w:r>
        <w:t xml:space="preserve"> de meest gegeten bereidingsvorm</w:t>
      </w:r>
      <w:r w:rsidR="00A00BF1">
        <w:t xml:space="preserve"> van aardappelen</w:t>
      </w:r>
      <w:r>
        <w:t>, gevolgd door frietjes, puree en gebakken aardappelen. Aardappelen in de oven en gestoomde aardappelen worden minder vaak gegeten, maar zitten de laatste jaren wel in de lift. Aardappelen bereiden in de wok doen we daarentegen bijna nooit en ook het bereiden van aardappelen in de microgolf</w:t>
      </w:r>
      <w:r w:rsidR="0013255D">
        <w:t>oven</w:t>
      </w:r>
      <w:r>
        <w:t xml:space="preserve"> ligt bij veel Vlamingen moeilijk. </w:t>
      </w:r>
      <w:r w:rsidR="0013255D">
        <w:t>Men denkt niet aan deze bereidingswijze of men verwacht</w:t>
      </w:r>
      <w:r>
        <w:t xml:space="preserve"> dat de aardappelen dan gaan uitdrogen en minder lekker zijn.</w:t>
      </w:r>
    </w:p>
    <w:p w14:paraId="12498E3A" w14:textId="36F4B60F" w:rsidR="00A6520A" w:rsidRDefault="00A6520A" w:rsidP="00BD31F2">
      <w:pPr>
        <w:spacing w:before="360" w:after="120" w:line="252" w:lineRule="auto"/>
        <w:rPr>
          <w:b/>
        </w:rPr>
      </w:pPr>
      <w:r>
        <w:rPr>
          <w:b/>
        </w:rPr>
        <w:t>Grotere diversiteit in aangekochte variëteiten</w:t>
      </w:r>
      <w:r w:rsidR="00385486">
        <w:rPr>
          <w:b/>
        </w:rPr>
        <w:t xml:space="preserve"> -</w:t>
      </w:r>
      <w:r>
        <w:rPr>
          <w:b/>
        </w:rPr>
        <w:t xml:space="preserve"> herkomst </w:t>
      </w:r>
      <w:r w:rsidR="00385486">
        <w:rPr>
          <w:b/>
        </w:rPr>
        <w:t xml:space="preserve">vooral </w:t>
      </w:r>
      <w:r>
        <w:rPr>
          <w:b/>
        </w:rPr>
        <w:t>België</w:t>
      </w:r>
    </w:p>
    <w:p w14:paraId="2AE21226" w14:textId="154F6C93" w:rsidR="00A6520A" w:rsidRPr="00A6520A" w:rsidRDefault="00A6520A" w:rsidP="00B355AA">
      <w:pPr>
        <w:spacing w:after="120" w:line="252" w:lineRule="auto"/>
      </w:pPr>
      <w:r w:rsidRPr="00A6520A">
        <w:t xml:space="preserve">Het </w:t>
      </w:r>
      <w:r>
        <w:t>volume</w:t>
      </w:r>
      <w:r w:rsidRPr="00A6520A">
        <w:t>aan</w:t>
      </w:r>
      <w:r>
        <w:t xml:space="preserve">deel </w:t>
      </w:r>
      <w:r w:rsidR="00390E71">
        <w:t xml:space="preserve">van </w:t>
      </w:r>
      <w:r>
        <w:t>Bintje</w:t>
      </w:r>
      <w:r w:rsidR="00390E71">
        <w:t xml:space="preserve"> daalde van </w:t>
      </w:r>
      <w:r w:rsidR="009F2E69">
        <w:t>25</w:t>
      </w:r>
      <w:r>
        <w:t>% in 2</w:t>
      </w:r>
      <w:r w:rsidR="009F2E69">
        <w:t>014</w:t>
      </w:r>
      <w:r>
        <w:t xml:space="preserve"> </w:t>
      </w:r>
      <w:r w:rsidR="006C3AAA">
        <w:t xml:space="preserve">tot </w:t>
      </w:r>
      <w:r w:rsidR="009F2E69">
        <w:t>1</w:t>
      </w:r>
      <w:r w:rsidR="00E171DB">
        <w:t>7</w:t>
      </w:r>
      <w:r w:rsidR="006C3AAA">
        <w:t>%</w:t>
      </w:r>
      <w:r w:rsidR="00E171DB">
        <w:t xml:space="preserve"> in 2019</w:t>
      </w:r>
      <w:r w:rsidR="00390E71">
        <w:t xml:space="preserve">. Het zijn niet Nicola en Charlotte die hiervan profiteren maar eerder allerlei diverse </w:t>
      </w:r>
      <w:r w:rsidR="004B248F">
        <w:t>minder gekende</w:t>
      </w:r>
      <w:r w:rsidR="00390E71">
        <w:t xml:space="preserve"> aardappelvariëteiten. </w:t>
      </w:r>
      <w:r w:rsidR="003048A9" w:rsidRPr="003048A9">
        <w:t xml:space="preserve">De variëteitenkennis van de consument is </w:t>
      </w:r>
      <w:r w:rsidR="003048A9">
        <w:t xml:space="preserve">wel </w:t>
      </w:r>
      <w:r w:rsidR="003048A9" w:rsidRPr="003048A9">
        <w:t>beperkt. Hij kan spontaan gemiddeld 1,5 variëteit</w:t>
      </w:r>
      <w:r w:rsidR="00A00BF1">
        <w:t>en</w:t>
      </w:r>
      <w:r w:rsidR="003048A9" w:rsidRPr="003048A9">
        <w:t xml:space="preserve"> opnoemen. Bintje is veruit de meest gekende, gevolgd door Nicola en Charlotte. De andere </w:t>
      </w:r>
      <w:r w:rsidR="003048A9" w:rsidRPr="003048A9">
        <w:lastRenderedPageBreak/>
        <w:t>variëteiten volgen op grote afstand.</w:t>
      </w:r>
      <w:r w:rsidR="003048A9">
        <w:t xml:space="preserve"> </w:t>
      </w:r>
      <w:r w:rsidR="003048A9" w:rsidRPr="003048A9">
        <w:t xml:space="preserve">De keuze van het kooktype </w:t>
      </w:r>
      <w:r w:rsidR="003048A9">
        <w:t xml:space="preserve">(vastkokend, bloemig) </w:t>
      </w:r>
      <w:r w:rsidR="003048A9" w:rsidRPr="003048A9">
        <w:t xml:space="preserve">is </w:t>
      </w:r>
      <w:r w:rsidR="003048A9">
        <w:t xml:space="preserve">voor de consument </w:t>
      </w:r>
      <w:r w:rsidR="003048A9" w:rsidRPr="003048A9">
        <w:t>belangrijker dan de keuze van de variëteit.</w:t>
      </w:r>
      <w:r>
        <w:br/>
      </w:r>
      <w:r w:rsidR="00231FB2">
        <w:t>Bio-aardappelen blijven groeien</w:t>
      </w:r>
      <w:r w:rsidR="00F4304B">
        <w:t xml:space="preserve"> en hebben nu een </w:t>
      </w:r>
      <w:r w:rsidR="00231FB2">
        <w:t xml:space="preserve">volumeaandeel van </w:t>
      </w:r>
      <w:r w:rsidR="00F4304B">
        <w:t>5</w:t>
      </w:r>
      <w:r w:rsidR="00231FB2">
        <w:t>%</w:t>
      </w:r>
      <w:r w:rsidR="00F4304B">
        <w:t xml:space="preserve"> (7% in bestedingen)</w:t>
      </w:r>
      <w:r w:rsidR="00231FB2">
        <w:t xml:space="preserve">. </w:t>
      </w:r>
      <w:r w:rsidR="00231FB2">
        <w:br/>
      </w:r>
      <w:r w:rsidR="00F4304B">
        <w:t>Drie kwart</w:t>
      </w:r>
      <w:r w:rsidR="00390E71">
        <w:t xml:space="preserve"> van de gekochte aardappelen zijn van Belgische herkomst. </w:t>
      </w:r>
      <w:r w:rsidR="009B7479">
        <w:t>Het aandeel van Belgische aardappelen is uiteraard het hoogst bij de rechtstreeks</w:t>
      </w:r>
      <w:r w:rsidR="00AA37E3">
        <w:t>e</w:t>
      </w:r>
      <w:r w:rsidR="009B7479">
        <w:t xml:space="preserve"> aankoop. Maar ook bij de grotere supermarkten en bij de buurtsupermarkten ligt dit aandeel </w:t>
      </w:r>
      <w:r w:rsidR="00F4304B">
        <w:t>boven</w:t>
      </w:r>
      <w:r w:rsidR="00390E71">
        <w:t xml:space="preserve"> </w:t>
      </w:r>
      <w:r w:rsidR="009B7479">
        <w:t>de 80%. Bij hard discount is het aandeel Belg</w:t>
      </w:r>
      <w:r w:rsidR="0003074E">
        <w:t>ische aardappelen het laagst</w:t>
      </w:r>
      <w:r w:rsidR="00B63A65">
        <w:t xml:space="preserve">, waar </w:t>
      </w:r>
      <w:r w:rsidR="001C0520">
        <w:t xml:space="preserve">het </w:t>
      </w:r>
      <w:r w:rsidR="005D1F51">
        <w:t>schommelt rond de 60</w:t>
      </w:r>
      <w:r w:rsidR="00231FB2">
        <w:t>%</w:t>
      </w:r>
      <w:r w:rsidR="009B7479">
        <w:t>.</w:t>
      </w:r>
      <w:r w:rsidR="00BD31F2">
        <w:t xml:space="preserve"> </w:t>
      </w:r>
    </w:p>
    <w:p w14:paraId="3DDF15CB" w14:textId="53FEBE02" w:rsidR="001400CA" w:rsidRPr="001400CA" w:rsidRDefault="00076465" w:rsidP="00BD31F2">
      <w:pPr>
        <w:spacing w:before="360" w:after="120" w:line="252" w:lineRule="auto"/>
        <w:rPr>
          <w:b/>
        </w:rPr>
      </w:pPr>
      <w:r>
        <w:rPr>
          <w:b/>
        </w:rPr>
        <w:t>8</w:t>
      </w:r>
      <w:r w:rsidR="00295AB6">
        <w:rPr>
          <w:b/>
        </w:rPr>
        <w:t>5</w:t>
      </w:r>
      <w:r>
        <w:rPr>
          <w:b/>
        </w:rPr>
        <w:t>% van de verse aardappelen worden gekocht in een supermarkt</w:t>
      </w:r>
    </w:p>
    <w:p w14:paraId="3253EC5B" w14:textId="142EBCFF" w:rsidR="00905868" w:rsidRDefault="00895B1F" w:rsidP="00B355AA">
      <w:pPr>
        <w:spacing w:after="120" w:line="252" w:lineRule="auto"/>
      </w:pPr>
      <w:r>
        <w:t xml:space="preserve">De </w:t>
      </w:r>
      <w:r w:rsidR="00295AB6">
        <w:t xml:space="preserve">hypermarkten en de </w:t>
      </w:r>
      <w:r>
        <w:t>grotere supermarkten (DIS 1) blijven het belangrijkste aankoopkanaal voor verse aardappe</w:t>
      </w:r>
      <w:r w:rsidR="002A47E4">
        <w:t>len met een volumeaandeel van 4</w:t>
      </w:r>
      <w:r w:rsidR="00231FB2">
        <w:t>0</w:t>
      </w:r>
      <w:r>
        <w:t>%</w:t>
      </w:r>
      <w:r w:rsidR="001C0520">
        <w:t>,</w:t>
      </w:r>
      <w:r w:rsidR="00295AB6">
        <w:t xml:space="preserve"> dat reeds enkele jaren stabiel blijft</w:t>
      </w:r>
      <w:r>
        <w:t xml:space="preserve">. </w:t>
      </w:r>
      <w:r w:rsidR="002A47E4">
        <w:t xml:space="preserve">Hard discount (Aldi, Lidl) </w:t>
      </w:r>
      <w:r w:rsidR="00231FB2">
        <w:t>en de buurtsupermarkten zijn stijgers</w:t>
      </w:r>
      <w:r w:rsidR="00295AB6">
        <w:t xml:space="preserve"> in de aardappelmarkt</w:t>
      </w:r>
      <w:r w:rsidR="00231FB2">
        <w:t xml:space="preserve">. </w:t>
      </w:r>
      <w:r w:rsidR="00CA163F">
        <w:t xml:space="preserve">Het </w:t>
      </w:r>
      <w:r w:rsidR="002A47E4">
        <w:t>aandeel</w:t>
      </w:r>
      <w:r>
        <w:t xml:space="preserve"> van de </w:t>
      </w:r>
      <w:r w:rsidR="0013255D">
        <w:t>groente- en fruit</w:t>
      </w:r>
      <w:r>
        <w:t>winkels</w:t>
      </w:r>
      <w:r w:rsidR="00295AB6">
        <w:t xml:space="preserve"> blijft stabiel op 3%. D</w:t>
      </w:r>
      <w:r>
        <w:t>e rechtstreeks</w:t>
      </w:r>
      <w:r w:rsidR="00AA37E3">
        <w:t>e</w:t>
      </w:r>
      <w:r>
        <w:t xml:space="preserve"> aankoop op de hoeve</w:t>
      </w:r>
      <w:r w:rsidR="002A47E4">
        <w:t xml:space="preserve"> blij</w:t>
      </w:r>
      <w:r w:rsidR="001C0520">
        <w:t>ft</w:t>
      </w:r>
      <w:r w:rsidR="002A47E4">
        <w:t xml:space="preserve"> verder dalen. </w:t>
      </w:r>
    </w:p>
    <w:p w14:paraId="33AA2C68" w14:textId="6E056976" w:rsidR="00295AB6" w:rsidRDefault="00295AB6" w:rsidP="00B355AA">
      <w:pPr>
        <w:spacing w:after="120" w:line="252" w:lineRule="auto"/>
      </w:pPr>
      <w:r w:rsidRPr="00E40C44">
        <w:rPr>
          <w:noProof/>
          <w:lang w:eastAsia="nl-BE"/>
        </w:rPr>
        <w:drawing>
          <wp:inline distT="0" distB="0" distL="0" distR="0" wp14:anchorId="60ABBCC4" wp14:editId="3775906F">
            <wp:extent cx="5372100" cy="3215640"/>
            <wp:effectExtent l="0" t="0" r="0" b="381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8C0C24" w14:textId="45C10ACC" w:rsidR="00895B1F" w:rsidRPr="009B7479" w:rsidRDefault="00130A86" w:rsidP="00BD31F2">
      <w:pPr>
        <w:spacing w:before="360" w:after="120" w:line="252" w:lineRule="auto"/>
        <w:rPr>
          <w:b/>
        </w:rPr>
      </w:pPr>
      <w:r>
        <w:rPr>
          <w:b/>
        </w:rPr>
        <w:t>V</w:t>
      </w:r>
      <w:r w:rsidR="001970C1">
        <w:rPr>
          <w:b/>
        </w:rPr>
        <w:t>ers verwerkt</w:t>
      </w:r>
      <w:r>
        <w:rPr>
          <w:b/>
        </w:rPr>
        <w:t>e</w:t>
      </w:r>
      <w:r w:rsidR="001970C1">
        <w:rPr>
          <w:b/>
        </w:rPr>
        <w:t xml:space="preserve"> </w:t>
      </w:r>
      <w:r>
        <w:rPr>
          <w:b/>
        </w:rPr>
        <w:t xml:space="preserve">aardappelen </w:t>
      </w:r>
      <w:r w:rsidR="00A56995">
        <w:rPr>
          <w:b/>
        </w:rPr>
        <w:t>en diepvriesproducten kennen een</w:t>
      </w:r>
      <w:r w:rsidR="00A23F5D">
        <w:rPr>
          <w:b/>
        </w:rPr>
        <w:t xml:space="preserve"> positieve evolutie </w:t>
      </w:r>
    </w:p>
    <w:p w14:paraId="06E98F6F" w14:textId="60152CAB" w:rsidR="0070073F" w:rsidRDefault="00A56995" w:rsidP="00B355AA">
      <w:pPr>
        <w:spacing w:after="120" w:line="252" w:lineRule="auto"/>
      </w:pPr>
      <w:r w:rsidRPr="00A56995">
        <w:t xml:space="preserve">Na een stabiel thuisverbruik de voorbije jaren steeg het thuisverbruik van verse verwerkte aardappelen </w:t>
      </w:r>
      <w:r>
        <w:t xml:space="preserve">fors </w:t>
      </w:r>
      <w:r w:rsidRPr="00A56995">
        <w:t xml:space="preserve">van 1,6 kg per capita in 2018 naar 1,9 kg per capita in 2019. </w:t>
      </w:r>
      <w:r>
        <w:t xml:space="preserve">Deze gemaksproducten weten meer kopers aan te trekken in de aardappelrayon. </w:t>
      </w:r>
      <w:r w:rsidR="00A23F5D">
        <w:t xml:space="preserve">Het </w:t>
      </w:r>
      <w:r w:rsidR="0070073F">
        <w:t>aantal kopers voor de verse verwerkte aardappelproducten steeg van 57% in 2014 naar 64</w:t>
      </w:r>
      <w:r w:rsidR="009B7479">
        <w:t>%</w:t>
      </w:r>
      <w:r w:rsidR="0070073F">
        <w:t xml:space="preserve"> vorig jaar. De aankoopfrequentie voor deze producten steeg van 6,6 naar 7,1 keer per jaar.</w:t>
      </w:r>
      <w:r w:rsidR="0070073F" w:rsidRPr="0070073F">
        <w:t xml:space="preserve"> </w:t>
      </w:r>
      <w:r w:rsidR="0070073F">
        <w:t>De grotere supermarkten en hard discount zijn de belangrijkste aankoopkanalen met een volumeaandeel van respectievelijk 36% en 3</w:t>
      </w:r>
      <w:r w:rsidR="00BA2CDA">
        <w:t>5</w:t>
      </w:r>
      <w:r w:rsidR="0070073F">
        <w:t xml:space="preserve">%. </w:t>
      </w:r>
      <w:r w:rsidR="00BA2CDA">
        <w:t xml:space="preserve">Hier boekt de hard discount </w:t>
      </w:r>
      <w:r w:rsidR="001C0520">
        <w:t>de</w:t>
      </w:r>
      <w:r w:rsidR="0070073F">
        <w:t xml:space="preserve"> meeste winst</w:t>
      </w:r>
      <w:r w:rsidR="00BA2CDA">
        <w:t>. De buurtsupermarkt zag zijn marktaandeel krimpen na een uitstekend 2018.</w:t>
      </w:r>
    </w:p>
    <w:p w14:paraId="6F0AB42C" w14:textId="1F35789F" w:rsidR="00130A86" w:rsidRDefault="0070073F" w:rsidP="00B355AA">
      <w:pPr>
        <w:spacing w:after="120" w:line="252" w:lineRule="auto"/>
      </w:pPr>
      <w:r w:rsidRPr="00A56995">
        <w:t xml:space="preserve">Voor de verwerkte aardappelen in diepvries noteren we </w:t>
      </w:r>
      <w:r>
        <w:t xml:space="preserve">een </w:t>
      </w:r>
      <w:r w:rsidRPr="00A56995">
        <w:t>stijging</w:t>
      </w:r>
      <w:r>
        <w:t>,</w:t>
      </w:r>
      <w:r w:rsidRPr="00A56995">
        <w:t xml:space="preserve"> na </w:t>
      </w:r>
      <w:r>
        <w:t>twee</w:t>
      </w:r>
      <w:r w:rsidRPr="00A56995">
        <w:t xml:space="preserve"> mindere jaren</w:t>
      </w:r>
      <w:r>
        <w:t>,</w:t>
      </w:r>
      <w:r w:rsidRPr="00A56995">
        <w:t xml:space="preserve"> en kwamen </w:t>
      </w:r>
      <w:r w:rsidR="001C0520">
        <w:t xml:space="preserve">we </w:t>
      </w:r>
      <w:r w:rsidRPr="00A56995">
        <w:t>voor 2019 uit op 5,0 kg per capita</w:t>
      </w:r>
      <w:r w:rsidRPr="00A23F5D">
        <w:t>.</w:t>
      </w:r>
      <w:r>
        <w:t xml:space="preserve"> </w:t>
      </w:r>
      <w:r w:rsidR="00BA2CDA">
        <w:t>H</w:t>
      </w:r>
      <w:r>
        <w:t xml:space="preserve">et aantal kopers </w:t>
      </w:r>
      <w:r w:rsidR="001C0520">
        <w:t xml:space="preserve">steeg </w:t>
      </w:r>
      <w:r>
        <w:t>in een jaar van 77 naar 79% en de aankoopfrequentie bleef stabiel</w:t>
      </w:r>
      <w:r w:rsidR="00BA2CDA">
        <w:t xml:space="preserve"> op zo’n 9 keer per jaar</w:t>
      </w:r>
      <w:r>
        <w:t>.</w:t>
      </w:r>
      <w:r w:rsidR="00A23F5D">
        <w:t xml:space="preserve"> </w:t>
      </w:r>
      <w:r w:rsidR="00130A86">
        <w:t xml:space="preserve">In </w:t>
      </w:r>
      <w:r w:rsidR="00BA2CDA">
        <w:t>dit segment is hard discount over zijn dip van 2</w:t>
      </w:r>
      <w:r w:rsidR="00130A86">
        <w:t xml:space="preserve">018 </w:t>
      </w:r>
      <w:r w:rsidR="00BA2CDA">
        <w:t>heen en boekt</w:t>
      </w:r>
      <w:r w:rsidR="001C0520">
        <w:t xml:space="preserve"> het</w:t>
      </w:r>
      <w:r w:rsidR="00BA2CDA">
        <w:t xml:space="preserve"> opnieuw winst om uit te komen op 39% marktaandeel. D</w:t>
      </w:r>
      <w:r w:rsidR="00130A86">
        <w:t xml:space="preserve">e </w:t>
      </w:r>
      <w:r w:rsidR="00130A86">
        <w:lastRenderedPageBreak/>
        <w:t xml:space="preserve">grotere supermarkten </w:t>
      </w:r>
      <w:r w:rsidR="00BA2CDA">
        <w:t xml:space="preserve">blijven marktleider met 43% marktaandeel. </w:t>
      </w:r>
      <w:r w:rsidR="00130A86">
        <w:t xml:space="preserve"> </w:t>
      </w:r>
      <w:r w:rsidR="00BA2CDA">
        <w:t>D</w:t>
      </w:r>
      <w:r w:rsidR="00130A86">
        <w:t xml:space="preserve">e buurtsupermarkten </w:t>
      </w:r>
      <w:r w:rsidR="00BA2CDA">
        <w:t>bleven steken op</w:t>
      </w:r>
      <w:r w:rsidR="00130A86">
        <w:t xml:space="preserve"> een aandeel van 1</w:t>
      </w:r>
      <w:r w:rsidR="00BA2CDA">
        <w:t>3</w:t>
      </w:r>
      <w:r w:rsidR="00130A86">
        <w:t>%.</w:t>
      </w:r>
    </w:p>
    <w:p w14:paraId="08D3828D" w14:textId="62053F32" w:rsidR="0004707F" w:rsidRPr="0004707F" w:rsidRDefault="0004707F" w:rsidP="00BD31F2">
      <w:pPr>
        <w:spacing w:before="360" w:after="120" w:line="252" w:lineRule="auto"/>
        <w:rPr>
          <w:b/>
        </w:rPr>
      </w:pPr>
      <w:r w:rsidRPr="0004707F">
        <w:rPr>
          <w:b/>
        </w:rPr>
        <w:t>En de alternatieven voor aardappelen?</w:t>
      </w:r>
    </w:p>
    <w:p w14:paraId="35441EE2" w14:textId="0929747A" w:rsidR="0004707F" w:rsidRDefault="00B25263" w:rsidP="00B355AA">
      <w:pPr>
        <w:spacing w:after="120" w:line="252" w:lineRule="auto"/>
      </w:pPr>
      <w:r w:rsidRPr="00B25263">
        <w:t xml:space="preserve">Met een gemiddelde eetfrequentie van </w:t>
      </w:r>
      <w:r w:rsidR="00AC2DD5">
        <w:t>zo’n 3</w:t>
      </w:r>
      <w:r w:rsidRPr="00B25263">
        <w:t xml:space="preserve"> keer per week, waarvan </w:t>
      </w:r>
      <w:r w:rsidR="00AC2DD5">
        <w:t>2</w:t>
      </w:r>
      <w:r w:rsidRPr="00B25263">
        <w:t>,</w:t>
      </w:r>
      <w:r w:rsidR="00AC2DD5">
        <w:t>2</w:t>
      </w:r>
      <w:r w:rsidRPr="00B25263">
        <w:t xml:space="preserve"> keer niet-gefrituurd en 0,7 keer gefrituurd, blijft de aardappel de meest geconsumeerde maaltijdbegeleider. Pasta komt 1,</w:t>
      </w:r>
      <w:r w:rsidR="00AC2DD5">
        <w:t>5</w:t>
      </w:r>
      <w:r w:rsidRPr="00B25263">
        <w:t xml:space="preserve"> keer per week op het bord</w:t>
      </w:r>
      <w:r w:rsidR="00B63A65">
        <w:t xml:space="preserve"> en</w:t>
      </w:r>
      <w:r w:rsidRPr="00B25263">
        <w:t xml:space="preserve"> rijst 0,</w:t>
      </w:r>
      <w:r w:rsidR="00AC2DD5">
        <w:t>9</w:t>
      </w:r>
      <w:r w:rsidRPr="00B25263">
        <w:t xml:space="preserve"> keer</w:t>
      </w:r>
      <w:r w:rsidR="00B63A65">
        <w:t>. W</w:t>
      </w:r>
      <w:r w:rsidRPr="00B25263">
        <w:t>raps</w:t>
      </w:r>
      <w:r w:rsidR="00AC2DD5">
        <w:t xml:space="preserve"> (0,3)</w:t>
      </w:r>
      <w:r w:rsidRPr="00B25263">
        <w:t>, quinoa</w:t>
      </w:r>
      <w:r w:rsidR="00AC2DD5">
        <w:t xml:space="preserve"> (0,2)</w:t>
      </w:r>
      <w:r w:rsidRPr="00B25263">
        <w:t>, bulgur</w:t>
      </w:r>
      <w:r w:rsidR="00B63A65">
        <w:t xml:space="preserve"> </w:t>
      </w:r>
      <w:r w:rsidR="00AC2DD5">
        <w:t xml:space="preserve">(0,1) </w:t>
      </w:r>
      <w:r w:rsidRPr="00B25263">
        <w:t>en couscous</w:t>
      </w:r>
      <w:r w:rsidR="00AC2DD5">
        <w:t xml:space="preserve"> (0,2)</w:t>
      </w:r>
      <w:r w:rsidR="001C0520">
        <w:t xml:space="preserve"> volgen op grote afstand</w:t>
      </w:r>
      <w:r w:rsidRPr="00B25263">
        <w:t xml:space="preserve">. </w:t>
      </w:r>
      <w:r w:rsidR="00AC2DD5">
        <w:t xml:space="preserve">Iets minder dan </w:t>
      </w:r>
      <w:r w:rsidRPr="00B25263">
        <w:t>1 keer per week eet men een maaltijd zonder deze maaltijdbegeleiders.</w:t>
      </w:r>
      <w:r>
        <w:t xml:space="preserve"> </w:t>
      </w:r>
      <w:r w:rsidR="001C0520">
        <w:br/>
      </w:r>
      <w:r w:rsidR="00B355AA">
        <w:t xml:space="preserve">De aardappel blijft </w:t>
      </w:r>
      <w:r>
        <w:t xml:space="preserve">dus </w:t>
      </w:r>
      <w:r w:rsidR="00B355AA">
        <w:t xml:space="preserve">nog steeds de maaltijdbegeleider bij uitstek. Dat blijkt ook uit </w:t>
      </w:r>
      <w:r>
        <w:t>de</w:t>
      </w:r>
      <w:r w:rsidR="00B355AA">
        <w:t xml:space="preserve"> thuisverbruikcijfers</w:t>
      </w:r>
      <w:r w:rsidR="00D2775F">
        <w:t xml:space="preserve"> van de </w:t>
      </w:r>
      <w:r w:rsidR="00D2775F" w:rsidRPr="00D2775F">
        <w:t xml:space="preserve">andere maaltijdbegeleiders </w:t>
      </w:r>
      <w:r w:rsidR="00D2775F">
        <w:t xml:space="preserve">waar we </w:t>
      </w:r>
      <w:r w:rsidR="00D2775F" w:rsidRPr="00D2775F">
        <w:t>een status quo</w:t>
      </w:r>
      <w:r w:rsidR="00D2775F">
        <w:t xml:space="preserve"> noteren</w:t>
      </w:r>
      <w:r w:rsidR="00D2775F" w:rsidRPr="00D2775F">
        <w:t xml:space="preserve">: droge deegwaren op 4,8 kg per capita, droge rijst op 1,4 kg per capita en ook de groep quinoa/bulgur/couscous bleef in 2019 status quo (0,3 kg per capita), na de groei in 2018. </w:t>
      </w:r>
      <w:r w:rsidR="00AE0C6C">
        <w:br/>
      </w:r>
      <w:r w:rsidR="00D2775F" w:rsidRPr="00D2775F">
        <w:t xml:space="preserve">De kant-en-klaarmaaltijden blijven verder groeien en kwamen uit op een thuisverbruik van 7,6 kg per capita. De kant-en-klare maaltijden met aardappelen zijn een klein segment binnen die markt, maar kennen wel voor het </w:t>
      </w:r>
      <w:r w:rsidR="00D2775F">
        <w:t>tweede</w:t>
      </w:r>
      <w:r w:rsidR="00D2775F" w:rsidRPr="00D2775F">
        <w:t xml:space="preserve"> jaar op rij een mooie groei</w:t>
      </w:r>
      <w:r w:rsidR="00AE0C6C">
        <w:t>. Ze</w:t>
      </w:r>
      <w:r w:rsidR="00D2775F" w:rsidRPr="00D2775F">
        <w:t xml:space="preserve"> kwamen in 2019 uit op 0,6 kg per capita</w:t>
      </w:r>
      <w:r>
        <w:t>.</w:t>
      </w:r>
    </w:p>
    <w:p w14:paraId="5DE7760B" w14:textId="7E65CDBF" w:rsidR="004E0542" w:rsidRPr="0004707F" w:rsidRDefault="004E0542" w:rsidP="004E0542">
      <w:pPr>
        <w:spacing w:before="360" w:after="120" w:line="252" w:lineRule="auto"/>
        <w:rPr>
          <w:b/>
        </w:rPr>
      </w:pPr>
      <w:r>
        <w:rPr>
          <w:b/>
        </w:rPr>
        <w:t>Aardappelen en aardappelbereidingen worden voornamelijk thuis gegeten, behalve friet</w:t>
      </w:r>
    </w:p>
    <w:p w14:paraId="0EBC03B9" w14:textId="553308BD" w:rsidR="004E0542" w:rsidRDefault="00B25263" w:rsidP="00B355AA">
      <w:pPr>
        <w:spacing w:after="120" w:line="252" w:lineRule="auto"/>
      </w:pPr>
      <w:r>
        <w:t>De totale foodservicemarkt steeg in 201</w:t>
      </w:r>
      <w:r w:rsidR="004035BD">
        <w:t>9</w:t>
      </w:r>
      <w:r>
        <w:t xml:space="preserve"> met </w:t>
      </w:r>
      <w:r w:rsidR="004035BD">
        <w:t>4,3</w:t>
      </w:r>
      <w:r>
        <w:t>% in bestedingen</w:t>
      </w:r>
      <w:r w:rsidR="004035BD">
        <w:t>. Het aantal bezoeken in horeca</w:t>
      </w:r>
      <w:r>
        <w:t xml:space="preserve"> en </w:t>
      </w:r>
      <w:r w:rsidR="004035BD">
        <w:t>aanverwanten bleef na een sterk 2018 vorig jaar stabiel</w:t>
      </w:r>
      <w:r>
        <w:t xml:space="preserve">. </w:t>
      </w:r>
      <w:r w:rsidR="004035BD">
        <w:t xml:space="preserve">De vooruitzichten voor 2020 zijn door de coronacrisis ronduit dramatisch. </w:t>
      </w:r>
      <w:r w:rsidR="004035BD">
        <w:br/>
      </w:r>
      <w:r>
        <w:t xml:space="preserve">Aardappelen blijven een product dat in verhouding vaker thuis gegeten wordt: </w:t>
      </w:r>
      <w:r w:rsidR="004E0542">
        <w:t>85% van de keren dat we gekookte aardappelen eten, is dit thuis en 7% van de keren bij familie en vrienden. Er blijft dus slechts 8% over voor buitenshuisconsumptie.</w:t>
      </w:r>
      <w:r w:rsidR="00817C2C">
        <w:t xml:space="preserve"> Nagenoeg hetzelfde verhaal bij aardappelpuree</w:t>
      </w:r>
      <w:r w:rsidR="00A00BF1">
        <w:t>,</w:t>
      </w:r>
      <w:r w:rsidR="00817C2C">
        <w:t xml:space="preserve"> dat voor 89% thuis of bij familie en vrienden wordt gegeten en slechts voor 11% elders. Ook bij andere aardappelbereidingen zoals gebakken aardappelen blijft thuis veruit de belangrijkste consumptieplaats. Uitzondering zijn frietjes</w:t>
      </w:r>
      <w:r w:rsidR="00B63A65">
        <w:t xml:space="preserve">, waar </w:t>
      </w:r>
      <w:r w:rsidR="00817C2C">
        <w:t xml:space="preserve">het belang van thuisconsumptie </w:t>
      </w:r>
      <w:r w:rsidR="00B63A65">
        <w:t xml:space="preserve">daalt </w:t>
      </w:r>
      <w:r w:rsidR="00817C2C">
        <w:t xml:space="preserve">tot 53%. Daarnaast eten we frietjes voor </w:t>
      </w:r>
      <w:r w:rsidR="00B63A65">
        <w:t xml:space="preserve">27% in horeca, voor </w:t>
      </w:r>
      <w:r w:rsidR="00817C2C">
        <w:t>7% bij familie en vrienden</w:t>
      </w:r>
      <w:r w:rsidR="006965E3">
        <w:t xml:space="preserve"> </w:t>
      </w:r>
      <w:r w:rsidR="00817C2C">
        <w:t xml:space="preserve">en voor 4% op het werk/school. Indien frietjes thuis gegeten werden, dan werden ze bovendien </w:t>
      </w:r>
      <w:r w:rsidR="00A00BF1">
        <w:t xml:space="preserve">in een derde van de gevallen </w:t>
      </w:r>
      <w:r w:rsidR="00817C2C">
        <w:t>afgehaald (bv. in de frituur).</w:t>
      </w:r>
      <w:r>
        <w:t xml:space="preserve"> </w:t>
      </w:r>
    </w:p>
    <w:sectPr w:rsidR="004E0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5412" w14:textId="77777777" w:rsidR="00540149" w:rsidRDefault="00540149" w:rsidP="00851F6A">
      <w:pPr>
        <w:spacing w:after="0" w:line="240" w:lineRule="auto"/>
      </w:pPr>
      <w:r>
        <w:separator/>
      </w:r>
    </w:p>
  </w:endnote>
  <w:endnote w:type="continuationSeparator" w:id="0">
    <w:p w14:paraId="32812FF9" w14:textId="77777777" w:rsidR="00540149" w:rsidRDefault="00540149" w:rsidP="008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B874" w14:textId="77777777" w:rsidR="00540149" w:rsidRDefault="00540149" w:rsidP="00851F6A">
      <w:pPr>
        <w:spacing w:after="0" w:line="240" w:lineRule="auto"/>
      </w:pPr>
      <w:r>
        <w:separator/>
      </w:r>
    </w:p>
  </w:footnote>
  <w:footnote w:type="continuationSeparator" w:id="0">
    <w:p w14:paraId="31824320" w14:textId="77777777" w:rsidR="00540149" w:rsidRDefault="00540149" w:rsidP="00851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9751E"/>
    <w:multiLevelType w:val="hybridMultilevel"/>
    <w:tmpl w:val="A7C0ED5C"/>
    <w:lvl w:ilvl="0" w:tplc="9C40E09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68"/>
    <w:rsid w:val="00012AC5"/>
    <w:rsid w:val="0003074E"/>
    <w:rsid w:val="00035942"/>
    <w:rsid w:val="0004707F"/>
    <w:rsid w:val="00066A2E"/>
    <w:rsid w:val="000741A8"/>
    <w:rsid w:val="00076465"/>
    <w:rsid w:val="000B331D"/>
    <w:rsid w:val="000B7CA9"/>
    <w:rsid w:val="000C390D"/>
    <w:rsid w:val="00106589"/>
    <w:rsid w:val="00117F76"/>
    <w:rsid w:val="00130A86"/>
    <w:rsid w:val="0013255D"/>
    <w:rsid w:val="001400CA"/>
    <w:rsid w:val="00155698"/>
    <w:rsid w:val="001970C1"/>
    <w:rsid w:val="001C0520"/>
    <w:rsid w:val="001C1EC5"/>
    <w:rsid w:val="001F2CA2"/>
    <w:rsid w:val="00231FB2"/>
    <w:rsid w:val="002364BF"/>
    <w:rsid w:val="00243CF9"/>
    <w:rsid w:val="00286CB5"/>
    <w:rsid w:val="00295AB6"/>
    <w:rsid w:val="002A47E4"/>
    <w:rsid w:val="002D53DA"/>
    <w:rsid w:val="002E3AE6"/>
    <w:rsid w:val="003048A9"/>
    <w:rsid w:val="00376BDD"/>
    <w:rsid w:val="00385486"/>
    <w:rsid w:val="00390E71"/>
    <w:rsid w:val="003B42F9"/>
    <w:rsid w:val="003D7E97"/>
    <w:rsid w:val="004035BD"/>
    <w:rsid w:val="00407BC6"/>
    <w:rsid w:val="004110DE"/>
    <w:rsid w:val="00413E30"/>
    <w:rsid w:val="00422062"/>
    <w:rsid w:val="0042626B"/>
    <w:rsid w:val="00436BF7"/>
    <w:rsid w:val="004427CA"/>
    <w:rsid w:val="0045140C"/>
    <w:rsid w:val="004B248F"/>
    <w:rsid w:val="004B3CB4"/>
    <w:rsid w:val="004D18BA"/>
    <w:rsid w:val="004E0542"/>
    <w:rsid w:val="004F4FC9"/>
    <w:rsid w:val="005079BE"/>
    <w:rsid w:val="00530CAF"/>
    <w:rsid w:val="00540149"/>
    <w:rsid w:val="00540C64"/>
    <w:rsid w:val="00555E30"/>
    <w:rsid w:val="00577EAC"/>
    <w:rsid w:val="00590425"/>
    <w:rsid w:val="005D1F51"/>
    <w:rsid w:val="00626B42"/>
    <w:rsid w:val="00643BD3"/>
    <w:rsid w:val="00675838"/>
    <w:rsid w:val="006965E3"/>
    <w:rsid w:val="006A70B4"/>
    <w:rsid w:val="006C3AAA"/>
    <w:rsid w:val="006D3A6A"/>
    <w:rsid w:val="006F4E20"/>
    <w:rsid w:val="0070073F"/>
    <w:rsid w:val="00720335"/>
    <w:rsid w:val="007246B2"/>
    <w:rsid w:val="007413AE"/>
    <w:rsid w:val="00743B30"/>
    <w:rsid w:val="00756A1E"/>
    <w:rsid w:val="007A70DB"/>
    <w:rsid w:val="007D34D9"/>
    <w:rsid w:val="00817C2C"/>
    <w:rsid w:val="00823097"/>
    <w:rsid w:val="00830AE7"/>
    <w:rsid w:val="00846126"/>
    <w:rsid w:val="008501B4"/>
    <w:rsid w:val="00851F6A"/>
    <w:rsid w:val="00854B8A"/>
    <w:rsid w:val="0086060A"/>
    <w:rsid w:val="008660F8"/>
    <w:rsid w:val="008858C9"/>
    <w:rsid w:val="00895B1F"/>
    <w:rsid w:val="008C53EC"/>
    <w:rsid w:val="008D45AD"/>
    <w:rsid w:val="008F74BF"/>
    <w:rsid w:val="00905868"/>
    <w:rsid w:val="00917C37"/>
    <w:rsid w:val="00966CCE"/>
    <w:rsid w:val="009958D3"/>
    <w:rsid w:val="00996B5F"/>
    <w:rsid w:val="009B3123"/>
    <w:rsid w:val="009B7479"/>
    <w:rsid w:val="009D522C"/>
    <w:rsid w:val="009F00C3"/>
    <w:rsid w:val="009F2E69"/>
    <w:rsid w:val="00A00BF1"/>
    <w:rsid w:val="00A106F0"/>
    <w:rsid w:val="00A12156"/>
    <w:rsid w:val="00A23F5D"/>
    <w:rsid w:val="00A26464"/>
    <w:rsid w:val="00A431F6"/>
    <w:rsid w:val="00A56995"/>
    <w:rsid w:val="00A6225F"/>
    <w:rsid w:val="00A6520A"/>
    <w:rsid w:val="00A73EA7"/>
    <w:rsid w:val="00A82777"/>
    <w:rsid w:val="00A857A3"/>
    <w:rsid w:val="00A92B80"/>
    <w:rsid w:val="00A96EBC"/>
    <w:rsid w:val="00AA37E3"/>
    <w:rsid w:val="00AB7A31"/>
    <w:rsid w:val="00AC2DD5"/>
    <w:rsid w:val="00AE0C6C"/>
    <w:rsid w:val="00AE7845"/>
    <w:rsid w:val="00B008A8"/>
    <w:rsid w:val="00B04F16"/>
    <w:rsid w:val="00B25263"/>
    <w:rsid w:val="00B355AA"/>
    <w:rsid w:val="00B45396"/>
    <w:rsid w:val="00B55085"/>
    <w:rsid w:val="00B63A65"/>
    <w:rsid w:val="00BA2CDA"/>
    <w:rsid w:val="00BA450D"/>
    <w:rsid w:val="00BA4E63"/>
    <w:rsid w:val="00BD31F2"/>
    <w:rsid w:val="00BF4A6E"/>
    <w:rsid w:val="00C403D3"/>
    <w:rsid w:val="00CA163F"/>
    <w:rsid w:val="00CA6FAB"/>
    <w:rsid w:val="00CD233A"/>
    <w:rsid w:val="00CF15E1"/>
    <w:rsid w:val="00D2775F"/>
    <w:rsid w:val="00D64B9B"/>
    <w:rsid w:val="00D91DFF"/>
    <w:rsid w:val="00DC2857"/>
    <w:rsid w:val="00DC3CEE"/>
    <w:rsid w:val="00E171DB"/>
    <w:rsid w:val="00E27F08"/>
    <w:rsid w:val="00E35956"/>
    <w:rsid w:val="00E3760C"/>
    <w:rsid w:val="00E40C44"/>
    <w:rsid w:val="00E45124"/>
    <w:rsid w:val="00E6129E"/>
    <w:rsid w:val="00E834B6"/>
    <w:rsid w:val="00E8495E"/>
    <w:rsid w:val="00E9380A"/>
    <w:rsid w:val="00F01EE0"/>
    <w:rsid w:val="00F16B7B"/>
    <w:rsid w:val="00F36785"/>
    <w:rsid w:val="00F4304B"/>
    <w:rsid w:val="00F83B83"/>
    <w:rsid w:val="00FA4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3A798"/>
  <w15:chartTrackingRefBased/>
  <w15:docId w15:val="{F4639596-3A58-4955-985A-F3FEAE0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4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486"/>
    <w:rPr>
      <w:rFonts w:ascii="Segoe UI" w:hAnsi="Segoe UI" w:cs="Segoe UI"/>
      <w:sz w:val="18"/>
      <w:szCs w:val="18"/>
    </w:rPr>
  </w:style>
  <w:style w:type="character" w:styleId="Verwijzingopmerking">
    <w:name w:val="annotation reference"/>
    <w:basedOn w:val="Standaardalinea-lettertype"/>
    <w:uiPriority w:val="99"/>
    <w:semiHidden/>
    <w:unhideWhenUsed/>
    <w:rsid w:val="00385486"/>
    <w:rPr>
      <w:sz w:val="16"/>
      <w:szCs w:val="16"/>
    </w:rPr>
  </w:style>
  <w:style w:type="paragraph" w:styleId="Tekstopmerking">
    <w:name w:val="annotation text"/>
    <w:basedOn w:val="Standaard"/>
    <w:link w:val="TekstopmerkingChar"/>
    <w:uiPriority w:val="99"/>
    <w:semiHidden/>
    <w:unhideWhenUsed/>
    <w:rsid w:val="003854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5486"/>
    <w:rPr>
      <w:sz w:val="20"/>
      <w:szCs w:val="20"/>
    </w:rPr>
  </w:style>
  <w:style w:type="paragraph" w:styleId="Onderwerpvanopmerking">
    <w:name w:val="annotation subject"/>
    <w:basedOn w:val="Tekstopmerking"/>
    <w:next w:val="Tekstopmerking"/>
    <w:link w:val="OnderwerpvanopmerkingChar"/>
    <w:uiPriority w:val="99"/>
    <w:semiHidden/>
    <w:unhideWhenUsed/>
    <w:rsid w:val="00385486"/>
    <w:rPr>
      <w:b/>
      <w:bCs/>
    </w:rPr>
  </w:style>
  <w:style w:type="character" w:customStyle="1" w:styleId="OnderwerpvanopmerkingChar">
    <w:name w:val="Onderwerp van opmerking Char"/>
    <w:basedOn w:val="TekstopmerkingChar"/>
    <w:link w:val="Onderwerpvanopmerking"/>
    <w:uiPriority w:val="99"/>
    <w:semiHidden/>
    <w:rsid w:val="00385486"/>
    <w:rPr>
      <w:b/>
      <w:bCs/>
      <w:sz w:val="20"/>
      <w:szCs w:val="20"/>
    </w:rPr>
  </w:style>
  <w:style w:type="paragraph" w:styleId="Koptekst">
    <w:name w:val="header"/>
    <w:basedOn w:val="Standaard"/>
    <w:link w:val="KoptekstChar"/>
    <w:uiPriority w:val="99"/>
    <w:unhideWhenUsed/>
    <w:rsid w:val="00851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F6A"/>
  </w:style>
  <w:style w:type="paragraph" w:styleId="Voettekst">
    <w:name w:val="footer"/>
    <w:basedOn w:val="Standaard"/>
    <w:link w:val="VoettekstChar"/>
    <w:uiPriority w:val="99"/>
    <w:unhideWhenUsed/>
    <w:rsid w:val="00851F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F6A"/>
  </w:style>
  <w:style w:type="paragraph" w:styleId="Lijstalinea">
    <w:name w:val="List Paragraph"/>
    <w:basedOn w:val="Standaard"/>
    <w:uiPriority w:val="34"/>
    <w:qFormat/>
    <w:rsid w:val="00996B5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08425">
      <w:bodyDiv w:val="1"/>
      <w:marLeft w:val="0"/>
      <w:marRight w:val="0"/>
      <w:marTop w:val="0"/>
      <w:marBottom w:val="0"/>
      <w:divBdr>
        <w:top w:val="none" w:sz="0" w:space="0" w:color="auto"/>
        <w:left w:val="none" w:sz="0" w:space="0" w:color="auto"/>
        <w:bottom w:val="none" w:sz="0" w:space="0" w:color="auto"/>
        <w:right w:val="none" w:sz="0" w:space="0" w:color="auto"/>
      </w:divBdr>
    </w:div>
    <w:div w:id="1501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Thuisverbruik verse aardappelen</a:t>
            </a:r>
            <a:br>
              <a:rPr lang="en-US"/>
            </a:br>
            <a:r>
              <a:rPr lang="en-US"/>
              <a:t>(in kg per capita)</a:t>
            </a:r>
          </a:p>
        </c:rich>
      </c:tx>
      <c:layout>
        <c:manualLayout>
          <c:xMode val="edge"/>
          <c:yMode val="edge"/>
          <c:x val="0.31836957880264971"/>
          <c:y val="2.4227740763173834E-2"/>
        </c:manualLayout>
      </c:layout>
      <c:overlay val="0"/>
    </c:title>
    <c:autoTitleDeleted val="0"/>
    <c:plotArea>
      <c:layout>
        <c:manualLayout>
          <c:layoutTarget val="inner"/>
          <c:xMode val="edge"/>
          <c:yMode val="edge"/>
          <c:x val="5.713365690399811E-2"/>
          <c:y val="0.2382126093159517"/>
          <c:w val="0.90775374055839764"/>
          <c:h val="0.61857073038284005"/>
        </c:manualLayout>
      </c:layout>
      <c:barChart>
        <c:barDir val="col"/>
        <c:grouping val="clustered"/>
        <c:varyColors val="0"/>
        <c:ser>
          <c:idx val="0"/>
          <c:order val="0"/>
          <c:tx>
            <c:strRef>
              <c:f>Blad1!$A$2</c:f>
              <c:strCache>
                <c:ptCount val="1"/>
                <c:pt idx="0">
                  <c:v>verse aardappelen</c:v>
                </c:pt>
              </c:strCache>
            </c:strRef>
          </c:tx>
          <c:spPr>
            <a:solidFill>
              <a:srgbClr val="FFC000"/>
            </a:solidFill>
          </c:spPr>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Blad1!$B$2:$G$2</c:f>
              <c:numCache>
                <c:formatCode>General</c:formatCode>
                <c:ptCount val="6"/>
                <c:pt idx="0">
                  <c:v>24.768775939941399</c:v>
                </c:pt>
                <c:pt idx="1">
                  <c:v>24.212436676025401</c:v>
                </c:pt>
                <c:pt idx="2">
                  <c:v>23.233873367309599</c:v>
                </c:pt>
                <c:pt idx="3">
                  <c:v>22.109798431396499</c:v>
                </c:pt>
                <c:pt idx="4">
                  <c:v>21.127077102661101</c:v>
                </c:pt>
                <c:pt idx="5">
                  <c:v>20.4059658050537</c:v>
                </c:pt>
              </c:numCache>
            </c:numRef>
          </c:val>
          <c:extLst>
            <c:ext xmlns:c16="http://schemas.microsoft.com/office/drawing/2014/chart" uri="{C3380CC4-5D6E-409C-BE32-E72D297353CC}">
              <c16:uniqueId val="{00000000-AAC6-4891-B141-9C974D03D7C4}"/>
            </c:ext>
          </c:extLst>
        </c:ser>
        <c:dLbls>
          <c:showLegendKey val="0"/>
          <c:showVal val="0"/>
          <c:showCatName val="0"/>
          <c:showSerName val="0"/>
          <c:showPercent val="0"/>
          <c:showBubbleSize val="0"/>
        </c:dLbls>
        <c:gapWidth val="50"/>
        <c:axId val="22286720"/>
        <c:axId val="22288256"/>
      </c:barChart>
      <c:catAx>
        <c:axId val="22286720"/>
        <c:scaling>
          <c:orientation val="minMax"/>
        </c:scaling>
        <c:delete val="0"/>
        <c:axPos val="b"/>
        <c:numFmt formatCode="General" sourceLinked="0"/>
        <c:majorTickMark val="out"/>
        <c:minorTickMark val="none"/>
        <c:tickLblPos val="nextTo"/>
        <c:crossAx val="22288256"/>
        <c:crosses val="autoZero"/>
        <c:auto val="1"/>
        <c:lblAlgn val="ctr"/>
        <c:lblOffset val="100"/>
        <c:noMultiLvlLbl val="0"/>
      </c:catAx>
      <c:valAx>
        <c:axId val="22288256"/>
        <c:scaling>
          <c:orientation val="minMax"/>
          <c:min val="0"/>
        </c:scaling>
        <c:delete val="0"/>
        <c:axPos val="l"/>
        <c:majorGridlines/>
        <c:numFmt formatCode="General" sourceLinked="1"/>
        <c:majorTickMark val="out"/>
        <c:minorTickMark val="none"/>
        <c:tickLblPos val="nextTo"/>
        <c:crossAx val="22286720"/>
        <c:crosses val="autoZero"/>
        <c:crossBetween val="between"/>
      </c:valAx>
    </c:plotArea>
    <c:plotVisOnly val="1"/>
    <c:dispBlanksAs val="gap"/>
    <c:showDLblsOverMax val="0"/>
  </c:chart>
  <c:spPr>
    <a:ln>
      <a:noFill/>
    </a:ln>
  </c:spPr>
  <c:txPr>
    <a:bodyPr/>
    <a:lstStyle/>
    <a:p>
      <a:pPr>
        <a:defRPr sz="1000">
          <a:ln>
            <a:noFill/>
          </a:ln>
        </a:defRPr>
      </a:pPr>
      <a:endParaRPr lang="nl-B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Aankoopkanalen verse aardappelen (in % van het volume)</a:t>
            </a:r>
          </a:p>
        </c:rich>
      </c:tx>
      <c:overlay val="0"/>
    </c:title>
    <c:autoTitleDeleted val="0"/>
    <c:plotArea>
      <c:layout>
        <c:manualLayout>
          <c:layoutTarget val="inner"/>
          <c:xMode val="edge"/>
          <c:yMode val="edge"/>
          <c:x val="8.8137941090697003E-2"/>
          <c:y val="0.13502484627584097"/>
          <c:w val="0.66843266987459904"/>
          <c:h val="0.69629087540528023"/>
        </c:manualLayout>
      </c:layout>
      <c:barChart>
        <c:barDir val="col"/>
        <c:grouping val="percentStacked"/>
        <c:varyColors val="0"/>
        <c:ser>
          <c:idx val="0"/>
          <c:order val="0"/>
          <c:tx>
            <c:strRef>
              <c:f>Blad1!$A$2</c:f>
              <c:strCache>
                <c:ptCount val="1"/>
                <c:pt idx="0">
                  <c:v>DIS 1</c:v>
                </c:pt>
              </c:strCache>
            </c:strRef>
          </c:tx>
          <c:spPr>
            <a:solidFill>
              <a:schemeClr val="accent6">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Blad1!$B$2:$G$2</c:f>
              <c:numCache>
                <c:formatCode>0.00%</c:formatCode>
                <c:ptCount val="6"/>
                <c:pt idx="0">
                  <c:v>0.39500000000000002</c:v>
                </c:pt>
                <c:pt idx="1">
                  <c:v>0.39100000000000001</c:v>
                </c:pt>
                <c:pt idx="2">
                  <c:v>0.40200000000000002</c:v>
                </c:pt>
                <c:pt idx="3">
                  <c:v>0.41</c:v>
                </c:pt>
                <c:pt idx="4">
                  <c:v>0.40100000000000002</c:v>
                </c:pt>
                <c:pt idx="5">
                  <c:v>0.39700000000000002</c:v>
                </c:pt>
              </c:numCache>
            </c:numRef>
          </c:val>
          <c:extLst>
            <c:ext xmlns:c16="http://schemas.microsoft.com/office/drawing/2014/chart" uri="{C3380CC4-5D6E-409C-BE32-E72D297353CC}">
              <c16:uniqueId val="{00000000-0BCE-404F-B846-879DB9C3C62F}"/>
            </c:ext>
          </c:extLst>
        </c:ser>
        <c:ser>
          <c:idx val="1"/>
          <c:order val="1"/>
          <c:tx>
            <c:strRef>
              <c:f>Blad1!$A$3</c:f>
              <c:strCache>
                <c:ptCount val="1"/>
                <c:pt idx="0">
                  <c:v>Hard discount</c:v>
                </c:pt>
              </c:strCache>
            </c:strRef>
          </c:tx>
          <c:spPr>
            <a:solidFill>
              <a:srgbClr val="00B0F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Blad1!$B$3:$G$3</c:f>
              <c:numCache>
                <c:formatCode>0.0%</c:formatCode>
                <c:ptCount val="6"/>
                <c:pt idx="0">
                  <c:v>0.27100000000000002</c:v>
                </c:pt>
                <c:pt idx="1">
                  <c:v>0.28100000000000003</c:v>
                </c:pt>
                <c:pt idx="2" formatCode="0.00%">
                  <c:v>0.28199999999999997</c:v>
                </c:pt>
                <c:pt idx="3">
                  <c:v>0.28699999999999998</c:v>
                </c:pt>
                <c:pt idx="4">
                  <c:v>0.29099999999999998</c:v>
                </c:pt>
                <c:pt idx="5">
                  <c:v>0.307</c:v>
                </c:pt>
              </c:numCache>
            </c:numRef>
          </c:val>
          <c:extLst>
            <c:ext xmlns:c16="http://schemas.microsoft.com/office/drawing/2014/chart" uri="{C3380CC4-5D6E-409C-BE32-E72D297353CC}">
              <c16:uniqueId val="{00000001-0BCE-404F-B846-879DB9C3C62F}"/>
            </c:ext>
          </c:extLst>
        </c:ser>
        <c:ser>
          <c:idx val="2"/>
          <c:order val="2"/>
          <c:tx>
            <c:strRef>
              <c:f>Blad1!$A$4</c:f>
              <c:strCache>
                <c:ptCount val="1"/>
                <c:pt idx="0">
                  <c:v>Buurt-supermarkten</c:v>
                </c:pt>
              </c:strCache>
            </c:strRef>
          </c:tx>
          <c:spPr>
            <a:solidFill>
              <a:srgbClr val="FFC00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Blad1!$B$4:$G$4</c:f>
              <c:numCache>
                <c:formatCode>0.0%</c:formatCode>
                <c:ptCount val="6"/>
                <c:pt idx="0">
                  <c:v>0.129</c:v>
                </c:pt>
                <c:pt idx="1">
                  <c:v>0.123</c:v>
                </c:pt>
                <c:pt idx="2" formatCode="0.00%">
                  <c:v>0.122</c:v>
                </c:pt>
                <c:pt idx="3">
                  <c:v>0.125</c:v>
                </c:pt>
                <c:pt idx="4">
                  <c:v>0.13500000000000001</c:v>
                </c:pt>
                <c:pt idx="5">
                  <c:v>0.13500000000000001</c:v>
                </c:pt>
              </c:numCache>
            </c:numRef>
          </c:val>
          <c:extLst>
            <c:ext xmlns:c16="http://schemas.microsoft.com/office/drawing/2014/chart" uri="{C3380CC4-5D6E-409C-BE32-E72D297353CC}">
              <c16:uniqueId val="{00000002-0BCE-404F-B846-879DB9C3C62F}"/>
            </c:ext>
          </c:extLst>
        </c:ser>
        <c:ser>
          <c:idx val="3"/>
          <c:order val="3"/>
          <c:tx>
            <c:strRef>
              <c:f>Blad1!$A$5</c:f>
              <c:strCache>
                <c:ptCount val="1"/>
                <c:pt idx="0">
                  <c:v>agf-zaak</c:v>
                </c:pt>
              </c:strCache>
            </c:strRef>
          </c:tx>
          <c:spPr>
            <a:solidFill>
              <a:srgbClr val="92D05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Blad1!$B$5:$G$5</c:f>
              <c:numCache>
                <c:formatCode>0.0%</c:formatCode>
                <c:ptCount val="6"/>
                <c:pt idx="0">
                  <c:v>3.9E-2</c:v>
                </c:pt>
                <c:pt idx="1">
                  <c:v>3.3000000000000002E-2</c:v>
                </c:pt>
                <c:pt idx="2" formatCode="0.00%">
                  <c:v>3.2000000000000001E-2</c:v>
                </c:pt>
                <c:pt idx="3">
                  <c:v>2.7E-2</c:v>
                </c:pt>
                <c:pt idx="4">
                  <c:v>2.5000000000000001E-2</c:v>
                </c:pt>
                <c:pt idx="5">
                  <c:v>2.9000000000000001E-2</c:v>
                </c:pt>
              </c:numCache>
            </c:numRef>
          </c:val>
          <c:extLst>
            <c:ext xmlns:c16="http://schemas.microsoft.com/office/drawing/2014/chart" uri="{C3380CC4-5D6E-409C-BE32-E72D297353CC}">
              <c16:uniqueId val="{00000003-0BCE-404F-B846-879DB9C3C62F}"/>
            </c:ext>
          </c:extLst>
        </c:ser>
        <c:ser>
          <c:idx val="4"/>
          <c:order val="4"/>
          <c:tx>
            <c:strRef>
              <c:f>Blad1!$A$6</c:f>
              <c:strCache>
                <c:ptCount val="1"/>
                <c:pt idx="0">
                  <c:v>rechtstreeks</c:v>
                </c:pt>
              </c:strCache>
            </c:strRef>
          </c:tx>
          <c:spPr>
            <a:solidFill>
              <a:schemeClr val="accent2"/>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Blad1!$B$6:$G$6</c:f>
              <c:numCache>
                <c:formatCode>0.0%</c:formatCode>
                <c:ptCount val="6"/>
                <c:pt idx="0">
                  <c:v>0.09</c:v>
                </c:pt>
                <c:pt idx="1">
                  <c:v>9.5000000000000001E-2</c:v>
                </c:pt>
                <c:pt idx="2" formatCode="0.00%">
                  <c:v>8.7999999999999995E-2</c:v>
                </c:pt>
                <c:pt idx="3">
                  <c:v>8.4000000000000005E-2</c:v>
                </c:pt>
                <c:pt idx="4">
                  <c:v>7.8E-2</c:v>
                </c:pt>
                <c:pt idx="5">
                  <c:v>7.0000000000000007E-2</c:v>
                </c:pt>
              </c:numCache>
            </c:numRef>
          </c:val>
          <c:extLst>
            <c:ext xmlns:c16="http://schemas.microsoft.com/office/drawing/2014/chart" uri="{C3380CC4-5D6E-409C-BE32-E72D297353CC}">
              <c16:uniqueId val="{00000004-0BCE-404F-B846-879DB9C3C62F}"/>
            </c:ext>
          </c:extLst>
        </c:ser>
        <c:ser>
          <c:idx val="5"/>
          <c:order val="5"/>
          <c:tx>
            <c:strRef>
              <c:f>Blad1!$A$7</c:f>
              <c:strCache>
                <c:ptCount val="1"/>
                <c:pt idx="0">
                  <c:v>overige</c:v>
                </c:pt>
              </c:strCache>
            </c:strRef>
          </c:tx>
          <c:spPr>
            <a:solidFill>
              <a:schemeClr val="bg1">
                <a:lumMod val="65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Blad1!$B$1:$G$1</c:f>
              <c:strCache>
                <c:ptCount val="6"/>
                <c:pt idx="0">
                  <c:v>2014</c:v>
                </c:pt>
                <c:pt idx="1">
                  <c:v>2015</c:v>
                </c:pt>
                <c:pt idx="2">
                  <c:v>2016</c:v>
                </c:pt>
                <c:pt idx="3">
                  <c:v>2017</c:v>
                </c:pt>
                <c:pt idx="4">
                  <c:v>2018</c:v>
                </c:pt>
                <c:pt idx="5">
                  <c:v>2019</c:v>
                </c:pt>
              </c:strCache>
            </c:strRef>
          </c:cat>
          <c:val>
            <c:numRef>
              <c:f>Blad1!$B$7:$G$7</c:f>
              <c:numCache>
                <c:formatCode>0.0%</c:formatCode>
                <c:ptCount val="6"/>
                <c:pt idx="0">
                  <c:v>7.5999999999999998E-2</c:v>
                </c:pt>
                <c:pt idx="1">
                  <c:v>7.8E-2</c:v>
                </c:pt>
                <c:pt idx="2" formatCode="0.00%">
                  <c:v>7.4999999999999997E-2</c:v>
                </c:pt>
                <c:pt idx="3">
                  <c:v>6.6000000000000003E-2</c:v>
                </c:pt>
                <c:pt idx="4">
                  <c:v>7.2000000000000008E-2</c:v>
                </c:pt>
                <c:pt idx="5">
                  <c:v>6.3E-2</c:v>
                </c:pt>
              </c:numCache>
            </c:numRef>
          </c:val>
          <c:extLst>
            <c:ext xmlns:c16="http://schemas.microsoft.com/office/drawing/2014/chart" uri="{C3380CC4-5D6E-409C-BE32-E72D297353CC}">
              <c16:uniqueId val="{00000005-0BCE-404F-B846-879DB9C3C62F}"/>
            </c:ext>
          </c:extLst>
        </c:ser>
        <c:dLbls>
          <c:showLegendKey val="0"/>
          <c:showVal val="0"/>
          <c:showCatName val="0"/>
          <c:showSerName val="0"/>
          <c:showPercent val="0"/>
          <c:showBubbleSize val="0"/>
        </c:dLbls>
        <c:gapWidth val="20"/>
        <c:overlap val="100"/>
        <c:axId val="28497792"/>
        <c:axId val="28499328"/>
      </c:barChart>
      <c:catAx>
        <c:axId val="28497792"/>
        <c:scaling>
          <c:orientation val="minMax"/>
        </c:scaling>
        <c:delete val="0"/>
        <c:axPos val="b"/>
        <c:numFmt formatCode="General" sourceLinked="0"/>
        <c:majorTickMark val="out"/>
        <c:minorTickMark val="none"/>
        <c:tickLblPos val="nextTo"/>
        <c:txPr>
          <a:bodyPr rot="0" vert="horz"/>
          <a:lstStyle/>
          <a:p>
            <a:pPr>
              <a:defRPr/>
            </a:pPr>
            <a:endParaRPr lang="nl-BE"/>
          </a:p>
        </c:txPr>
        <c:crossAx val="28499328"/>
        <c:crosses val="autoZero"/>
        <c:auto val="1"/>
        <c:lblAlgn val="ctr"/>
        <c:lblOffset val="100"/>
        <c:noMultiLvlLbl val="0"/>
      </c:catAx>
      <c:valAx>
        <c:axId val="28499328"/>
        <c:scaling>
          <c:orientation val="minMax"/>
          <c:min val="0"/>
        </c:scaling>
        <c:delete val="0"/>
        <c:axPos val="l"/>
        <c:majorGridlines/>
        <c:numFmt formatCode="0%" sourceLinked="1"/>
        <c:majorTickMark val="out"/>
        <c:minorTickMark val="none"/>
        <c:tickLblPos val="nextTo"/>
        <c:crossAx val="28497792"/>
        <c:crosses val="autoZero"/>
        <c:crossBetween val="between"/>
      </c:valAx>
    </c:plotArea>
    <c:legend>
      <c:legendPos val="r"/>
      <c:layout>
        <c:manualLayout>
          <c:xMode val="edge"/>
          <c:yMode val="edge"/>
          <c:x val="0.7781755737979561"/>
          <c:y val="0.13497126544016122"/>
          <c:w val="0.22182451151939342"/>
          <c:h val="0.73877744080576513"/>
        </c:manualLayout>
      </c:layout>
      <c:overlay val="0"/>
    </c:legend>
    <c:plotVisOnly val="1"/>
    <c:dispBlanksAs val="gap"/>
    <c:showDLblsOverMax val="0"/>
  </c:chart>
  <c:spPr>
    <a:ln>
      <a:noFill/>
    </a:ln>
  </c:spPr>
  <c:txPr>
    <a:bodyPr/>
    <a:lstStyle/>
    <a:p>
      <a:pPr>
        <a:defRPr sz="800"/>
      </a:pPr>
      <a:endParaRPr lang="nl-BE"/>
    </a:p>
  </c:tx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0.02933</cdr:x>
      <cdr:y>0.93793</cdr:y>
    </cdr:from>
    <cdr:to>
      <cdr:x>0.74786</cdr:x>
      <cdr:y>1</cdr:y>
    </cdr:to>
    <cdr:sp macro="" textlink="">
      <cdr:nvSpPr>
        <cdr:cNvPr id="2" name="Tekstvak 1"/>
        <cdr:cNvSpPr txBox="1"/>
      </cdr:nvSpPr>
      <cdr:spPr>
        <a:xfrm xmlns:a="http://schemas.openxmlformats.org/drawingml/2006/main">
          <a:off x="137160" y="2590800"/>
          <a:ext cx="336042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800"/>
            <a:t>Bron: GfK Belgium en bewerkingen VLAM</a:t>
          </a:r>
        </a:p>
      </cdr:txBody>
    </cdr:sp>
  </cdr:relSizeAnchor>
</c:userShapes>
</file>

<file path=word/drawings/drawing2.xml><?xml version="1.0" encoding="utf-8"?>
<c:userShapes xmlns:c="http://schemas.openxmlformats.org/drawingml/2006/chart">
  <cdr:relSizeAnchor xmlns:cdr="http://schemas.openxmlformats.org/drawingml/2006/chartDrawing">
    <cdr:from>
      <cdr:x>0.01667</cdr:x>
      <cdr:y>0.92235</cdr:y>
    </cdr:from>
    <cdr:to>
      <cdr:x>0.53611</cdr:x>
      <cdr:y>1</cdr:y>
    </cdr:to>
    <cdr:sp macro="" textlink="">
      <cdr:nvSpPr>
        <cdr:cNvPr id="2" name="Tekstvak 1"/>
        <cdr:cNvSpPr txBox="1"/>
      </cdr:nvSpPr>
      <cdr:spPr>
        <a:xfrm xmlns:a="http://schemas.openxmlformats.org/drawingml/2006/main">
          <a:off x="91440" y="2987040"/>
          <a:ext cx="284988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800"/>
            <a:t>Bron: GfK Belgium en bewerkingen VLAM</a:t>
          </a:r>
        </a:p>
      </cdr:txBody>
    </cdr:sp>
  </cdr:relSizeAnchor>
  <cdr:relSizeAnchor xmlns:cdr="http://schemas.openxmlformats.org/drawingml/2006/chartDrawing">
    <cdr:from>
      <cdr:x>0.39306</cdr:x>
      <cdr:y>0.90353</cdr:y>
    </cdr:from>
    <cdr:to>
      <cdr:x>0.91458</cdr:x>
      <cdr:y>0.97177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6460" y="2926081"/>
          <a:ext cx="2861307" cy="220980"/>
        </a:xfrm>
        <a:prstGeom xmlns:a="http://schemas.openxmlformats.org/drawingml/2006/main" prst="rect">
          <a:avLst/>
        </a:prstGeom>
      </cdr:spPr>
    </cdr:pic>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89ED-C521-4528-A23A-1905CDB6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1498</Words>
  <Characters>8240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Liliane Driesen</cp:lastModifiedBy>
  <cp:revision>3</cp:revision>
  <cp:lastPrinted>2017-03-15T09:38:00Z</cp:lastPrinted>
  <dcterms:created xsi:type="dcterms:W3CDTF">2020-04-21T13:12:00Z</dcterms:created>
  <dcterms:modified xsi:type="dcterms:W3CDTF">2020-04-21T13:21:00Z</dcterms:modified>
</cp:coreProperties>
</file>